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C94FFB" w14:textId="77777777" w:rsidR="00F4090C" w:rsidRDefault="00F4090C" w:rsidP="00F4090C">
      <w:pPr>
        <w:jc w:val="center"/>
        <w:rPr>
          <w:b/>
        </w:rPr>
      </w:pPr>
      <w:bookmarkStart w:id="0" w:name="_GoBack"/>
      <w:bookmarkEnd w:id="0"/>
    </w:p>
    <w:p w14:paraId="42857334" w14:textId="579943C2" w:rsidR="00F4090C" w:rsidRPr="00F4090C" w:rsidRDefault="00F4090C" w:rsidP="00F4090C">
      <w:pPr>
        <w:jc w:val="center"/>
        <w:rPr>
          <w:rFonts w:ascii="Times New Roman" w:hAnsi="Times New Roman" w:cs="Times New Roman"/>
          <w:b/>
        </w:rPr>
      </w:pPr>
      <w:r w:rsidRPr="00F4090C">
        <w:rPr>
          <w:rFonts w:ascii="Times New Roman" w:hAnsi="Times New Roman" w:cs="Times New Roman"/>
          <w:b/>
        </w:rPr>
        <w:t>Funding Protocol for Regionally Designated Significant Parks and Trails</w:t>
      </w:r>
    </w:p>
    <w:p w14:paraId="14A16BE2" w14:textId="77777777" w:rsidR="00F4090C" w:rsidRPr="00F4090C" w:rsidRDefault="00F4090C" w:rsidP="00F4090C">
      <w:pPr>
        <w:rPr>
          <w:rFonts w:ascii="Times New Roman" w:hAnsi="Times New Roman" w:cs="Times New Roman"/>
          <w:sz w:val="22"/>
          <w:szCs w:val="22"/>
        </w:rPr>
      </w:pPr>
      <w:r w:rsidRPr="00F4090C">
        <w:rPr>
          <w:rFonts w:ascii="Times New Roman" w:hAnsi="Times New Roman" w:cs="Times New Roman"/>
          <w:sz w:val="22"/>
          <w:szCs w:val="22"/>
        </w:rPr>
        <w:t>Parks and trails in Greater Minnesota are eligible to apply for funding only after their formal designation by the commission.</w:t>
      </w:r>
    </w:p>
    <w:p w14:paraId="0FB4765A" w14:textId="77777777" w:rsidR="00F4090C" w:rsidRPr="00F4090C" w:rsidRDefault="00F4090C" w:rsidP="00F4090C">
      <w:pPr>
        <w:rPr>
          <w:rFonts w:ascii="Times New Roman" w:hAnsi="Times New Roman" w:cs="Times New Roman"/>
          <w:sz w:val="22"/>
          <w:szCs w:val="22"/>
        </w:rPr>
      </w:pPr>
    </w:p>
    <w:p w14:paraId="192D057B" w14:textId="77777777" w:rsidR="00F4090C" w:rsidRPr="00F4090C" w:rsidRDefault="00F4090C" w:rsidP="00F4090C">
      <w:pPr>
        <w:rPr>
          <w:rFonts w:ascii="Times New Roman" w:hAnsi="Times New Roman" w:cs="Times New Roman"/>
          <w:sz w:val="22"/>
          <w:szCs w:val="22"/>
        </w:rPr>
      </w:pPr>
      <w:r w:rsidRPr="00F4090C">
        <w:rPr>
          <w:rFonts w:ascii="Times New Roman" w:hAnsi="Times New Roman" w:cs="Times New Roman"/>
          <w:sz w:val="22"/>
          <w:szCs w:val="22"/>
        </w:rPr>
        <w:t xml:space="preserve">The very process of designation sets a high standard to achieve regional significance, therefore a thorough vetting process had already been done prior to the funding evaluation, ensuring all projects recommended for funding in FY2016 and FY2017 are of high regional value.   </w:t>
      </w:r>
    </w:p>
    <w:p w14:paraId="6F380EA8" w14:textId="77777777" w:rsidR="00F4090C" w:rsidRPr="00F4090C" w:rsidRDefault="00F4090C" w:rsidP="00F4090C">
      <w:pPr>
        <w:rPr>
          <w:rFonts w:ascii="Times New Roman" w:hAnsi="Times New Roman" w:cs="Times New Roman"/>
          <w:sz w:val="22"/>
          <w:szCs w:val="22"/>
        </w:rPr>
      </w:pPr>
    </w:p>
    <w:p w14:paraId="54972E1A" w14:textId="77777777" w:rsidR="00F4090C" w:rsidRPr="00F4090C" w:rsidRDefault="00F4090C" w:rsidP="00F4090C">
      <w:pPr>
        <w:rPr>
          <w:rFonts w:ascii="Times New Roman" w:hAnsi="Times New Roman" w:cs="Times New Roman"/>
          <w:sz w:val="22"/>
          <w:szCs w:val="22"/>
        </w:rPr>
      </w:pPr>
      <w:r w:rsidRPr="00F4090C">
        <w:rPr>
          <w:rFonts w:ascii="Times New Roman" w:hAnsi="Times New Roman" w:cs="Times New Roman"/>
          <w:sz w:val="22"/>
          <w:szCs w:val="22"/>
        </w:rPr>
        <w:t>Funding Evaluation Protocol</w:t>
      </w:r>
    </w:p>
    <w:p w14:paraId="46D08B03" w14:textId="77777777" w:rsidR="00F4090C" w:rsidRPr="00F4090C" w:rsidRDefault="00F4090C" w:rsidP="00F4090C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F4090C">
        <w:rPr>
          <w:sz w:val="22"/>
          <w:szCs w:val="22"/>
        </w:rPr>
        <w:t>Funding requests were evaluated based on the ability to provide a high-quality experience, serve a regional population or visitor destination, enhance connectivity and/or fill a gap in a recreational opportunity</w:t>
      </w:r>
    </w:p>
    <w:p w14:paraId="4971DDB0" w14:textId="77777777" w:rsidR="00F4090C" w:rsidRPr="00F4090C" w:rsidRDefault="00F4090C" w:rsidP="00F4090C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F4090C">
        <w:rPr>
          <w:sz w:val="22"/>
          <w:szCs w:val="22"/>
        </w:rPr>
        <w:t>The Four Legacy strategic directions were given high consideration; connect people to the outdoors; acquire land, create opportunities; take care of what we have; coordinate among partners</w:t>
      </w:r>
    </w:p>
    <w:p w14:paraId="30527C7C" w14:textId="77777777" w:rsidR="00F4090C" w:rsidRPr="00F4090C" w:rsidRDefault="00F4090C" w:rsidP="00F4090C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F4090C">
        <w:rPr>
          <w:sz w:val="22"/>
          <w:szCs w:val="22"/>
        </w:rPr>
        <w:t>Guiding principles and themes complementary to the above, with additional focus on projects most relevant to, and valued by, residents and visitors, and those that generate economic impact</w:t>
      </w:r>
    </w:p>
    <w:p w14:paraId="677E68D3" w14:textId="77777777" w:rsidR="00F4090C" w:rsidRPr="00F4090C" w:rsidRDefault="00F4090C" w:rsidP="00F4090C">
      <w:pPr>
        <w:rPr>
          <w:rFonts w:ascii="Times New Roman" w:hAnsi="Times New Roman" w:cs="Times New Roman"/>
          <w:sz w:val="22"/>
          <w:szCs w:val="22"/>
        </w:rPr>
      </w:pPr>
    </w:p>
    <w:p w14:paraId="7788674D" w14:textId="77777777" w:rsidR="00F4090C" w:rsidRPr="00F4090C" w:rsidRDefault="00F4090C" w:rsidP="00F4090C">
      <w:pPr>
        <w:rPr>
          <w:rFonts w:ascii="Times New Roman" w:hAnsi="Times New Roman" w:cs="Times New Roman"/>
          <w:sz w:val="22"/>
          <w:szCs w:val="22"/>
        </w:rPr>
      </w:pPr>
      <w:r w:rsidRPr="00F4090C">
        <w:rPr>
          <w:rFonts w:ascii="Times New Roman" w:hAnsi="Times New Roman" w:cs="Times New Roman"/>
          <w:sz w:val="22"/>
          <w:szCs w:val="22"/>
        </w:rPr>
        <w:t xml:space="preserve">A total of 31 funding requests were submitted for consideration and </w:t>
      </w:r>
      <w:r w:rsidRPr="00F4090C">
        <w:rPr>
          <w:rFonts w:ascii="Times New Roman" w:hAnsi="Times New Roman" w:cs="Times New Roman"/>
          <w:b/>
          <w:i/>
          <w:sz w:val="22"/>
          <w:szCs w:val="22"/>
        </w:rPr>
        <w:t>all</w:t>
      </w:r>
      <w:r w:rsidRPr="00F4090C">
        <w:rPr>
          <w:rFonts w:ascii="Times New Roman" w:hAnsi="Times New Roman" w:cs="Times New Roman"/>
          <w:sz w:val="22"/>
          <w:szCs w:val="22"/>
        </w:rPr>
        <w:t xml:space="preserve"> requests were evaluated and placed in one of four categories.  The first two categories encompass the projects recommended by the Commission for the FY2016/2017 funding cycle.</w:t>
      </w:r>
    </w:p>
    <w:p w14:paraId="46EFF074" w14:textId="77777777" w:rsidR="00F4090C" w:rsidRPr="00F4090C" w:rsidRDefault="00F4090C" w:rsidP="00F4090C">
      <w:pPr>
        <w:rPr>
          <w:rFonts w:ascii="Times New Roman" w:hAnsi="Times New Roman" w:cs="Times New Roman"/>
          <w:sz w:val="22"/>
          <w:szCs w:val="22"/>
        </w:rPr>
      </w:pPr>
    </w:p>
    <w:p w14:paraId="7DE8792A" w14:textId="77777777" w:rsidR="00F4090C" w:rsidRPr="00F4090C" w:rsidRDefault="00F4090C" w:rsidP="00F4090C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F4090C">
        <w:rPr>
          <w:sz w:val="22"/>
          <w:szCs w:val="22"/>
        </w:rPr>
        <w:t>High value top priority projects that line up well compared with evaluation protocol and are ready to move forward. There are 19 funding recommendations in this category.</w:t>
      </w:r>
    </w:p>
    <w:p w14:paraId="5A7D3718" w14:textId="77777777" w:rsidR="00F4090C" w:rsidRPr="00F4090C" w:rsidRDefault="00F4090C" w:rsidP="00F4090C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F4090C">
        <w:rPr>
          <w:sz w:val="22"/>
          <w:szCs w:val="22"/>
        </w:rPr>
        <w:t>High value top priority prototype projects that provide test cases upon which to build support strategies for future investments.  There are four funding recommendations in this category</w:t>
      </w:r>
    </w:p>
    <w:p w14:paraId="10B770DC" w14:textId="77777777" w:rsidR="00F4090C" w:rsidRPr="00F4090C" w:rsidRDefault="00F4090C" w:rsidP="00F4090C">
      <w:pPr>
        <w:pStyle w:val="ListParagraph"/>
        <w:rPr>
          <w:sz w:val="22"/>
          <w:szCs w:val="22"/>
        </w:rPr>
      </w:pPr>
    </w:p>
    <w:p w14:paraId="687152EE" w14:textId="77777777" w:rsidR="00F4090C" w:rsidRPr="00F4090C" w:rsidRDefault="00F4090C" w:rsidP="00F4090C">
      <w:pPr>
        <w:rPr>
          <w:rFonts w:ascii="Times New Roman" w:hAnsi="Times New Roman" w:cs="Times New Roman"/>
          <w:sz w:val="22"/>
          <w:szCs w:val="22"/>
        </w:rPr>
      </w:pPr>
      <w:r w:rsidRPr="00F4090C">
        <w:rPr>
          <w:rFonts w:ascii="Times New Roman" w:hAnsi="Times New Roman" w:cs="Times New Roman"/>
          <w:sz w:val="22"/>
          <w:szCs w:val="22"/>
        </w:rPr>
        <w:t>The remaining eight funding requests were placed in one of the two following categories:</w:t>
      </w:r>
    </w:p>
    <w:p w14:paraId="5E875857" w14:textId="77777777" w:rsidR="00F4090C" w:rsidRPr="00F4090C" w:rsidRDefault="00F4090C" w:rsidP="00F4090C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F4090C">
        <w:rPr>
          <w:sz w:val="22"/>
          <w:szCs w:val="22"/>
        </w:rPr>
        <w:t>Worthy projects that match up well against the evaluation protocol but are either not ready to go and/or are less of a priority than the high value top priority projects.</w:t>
      </w:r>
    </w:p>
    <w:p w14:paraId="0954E052" w14:textId="77777777" w:rsidR="00F4090C" w:rsidRPr="00F4090C" w:rsidRDefault="00F4090C" w:rsidP="00F4090C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F4090C">
        <w:rPr>
          <w:sz w:val="22"/>
          <w:szCs w:val="22"/>
        </w:rPr>
        <w:t>Future potential projects that have baseline merit against the evaluation protocol but need additional refinement or enhancement to become higher priorities.</w:t>
      </w:r>
    </w:p>
    <w:p w14:paraId="182E4DAF" w14:textId="77777777" w:rsidR="00F4090C" w:rsidRPr="00F4090C" w:rsidRDefault="00F4090C" w:rsidP="00F4090C">
      <w:pPr>
        <w:rPr>
          <w:rFonts w:ascii="Times New Roman" w:hAnsi="Times New Roman" w:cs="Times New Roman"/>
          <w:sz w:val="22"/>
          <w:szCs w:val="22"/>
        </w:rPr>
      </w:pPr>
      <w:r w:rsidRPr="00F4090C">
        <w:rPr>
          <w:rFonts w:ascii="Times New Roman" w:hAnsi="Times New Roman" w:cs="Times New Roman"/>
          <w:sz w:val="22"/>
          <w:szCs w:val="22"/>
        </w:rPr>
        <w:t>The funding requests in these categories are not priorities for FY2016/2017 funding cycle but may be prospects for future funding cycles with refinement of the request.</w:t>
      </w:r>
    </w:p>
    <w:p w14:paraId="4366E646" w14:textId="77777777" w:rsidR="00F4090C" w:rsidRPr="00F4090C" w:rsidRDefault="00F4090C" w:rsidP="00F4090C">
      <w:pPr>
        <w:rPr>
          <w:rFonts w:ascii="Times New Roman" w:hAnsi="Times New Roman" w:cs="Times New Roman"/>
          <w:sz w:val="22"/>
          <w:szCs w:val="22"/>
        </w:rPr>
      </w:pPr>
    </w:p>
    <w:p w14:paraId="5D9CF201" w14:textId="77777777" w:rsidR="00F4090C" w:rsidRPr="00F4090C" w:rsidRDefault="00F4090C" w:rsidP="00F4090C">
      <w:pPr>
        <w:jc w:val="center"/>
        <w:rPr>
          <w:rFonts w:ascii="Times New Roman" w:hAnsi="Times New Roman" w:cs="Times New Roman"/>
          <w:b/>
        </w:rPr>
      </w:pPr>
      <w:r w:rsidRPr="00F4090C">
        <w:rPr>
          <w:rFonts w:ascii="Times New Roman" w:hAnsi="Times New Roman" w:cs="Times New Roman"/>
          <w:b/>
        </w:rPr>
        <w:t>Funding Recommendation Prioritization Process</w:t>
      </w:r>
    </w:p>
    <w:p w14:paraId="68FD03C0" w14:textId="77777777" w:rsidR="00F4090C" w:rsidRPr="00F4090C" w:rsidRDefault="00F4090C" w:rsidP="00F4090C">
      <w:pPr>
        <w:rPr>
          <w:rFonts w:ascii="Times New Roman" w:hAnsi="Times New Roman" w:cs="Times New Roman"/>
          <w:sz w:val="22"/>
          <w:szCs w:val="22"/>
        </w:rPr>
      </w:pPr>
      <w:r w:rsidRPr="00F4090C">
        <w:rPr>
          <w:rFonts w:ascii="Times New Roman" w:hAnsi="Times New Roman" w:cs="Times New Roman"/>
          <w:sz w:val="22"/>
          <w:szCs w:val="22"/>
        </w:rPr>
        <w:t>Funding application screening was performed by the Executive Director and consultant team based on the funding protocol established.  The initial screening resulted in consensus of project recommendations and ranking order.  A second screening was done by the Evaluation Team and consensus was reached for the recommendations.</w:t>
      </w:r>
    </w:p>
    <w:p w14:paraId="4D85D276" w14:textId="77777777" w:rsidR="00F4090C" w:rsidRPr="00F4090C" w:rsidRDefault="00F4090C" w:rsidP="00F4090C">
      <w:pPr>
        <w:rPr>
          <w:rFonts w:ascii="Times New Roman" w:hAnsi="Times New Roman" w:cs="Times New Roman"/>
          <w:sz w:val="22"/>
          <w:szCs w:val="22"/>
        </w:rPr>
      </w:pPr>
    </w:p>
    <w:p w14:paraId="21E7E06C" w14:textId="77777777" w:rsidR="00F4090C" w:rsidRPr="00F4090C" w:rsidRDefault="00F4090C" w:rsidP="00F4090C">
      <w:pPr>
        <w:rPr>
          <w:rFonts w:ascii="Times New Roman" w:hAnsi="Times New Roman" w:cs="Times New Roman"/>
          <w:sz w:val="22"/>
          <w:szCs w:val="22"/>
        </w:rPr>
      </w:pPr>
      <w:r w:rsidRPr="00F4090C">
        <w:rPr>
          <w:rFonts w:ascii="Times New Roman" w:hAnsi="Times New Roman" w:cs="Times New Roman"/>
          <w:sz w:val="22"/>
          <w:szCs w:val="22"/>
        </w:rPr>
        <w:t>The project recommendations and ranking order were discussed and voted on by the Commission, which ultimately voted unanimous approval for both project recommendations and ranking order.</w:t>
      </w:r>
    </w:p>
    <w:p w14:paraId="7EFB6AE6" w14:textId="77777777" w:rsidR="00456BDA" w:rsidRDefault="00456BDA"/>
    <w:sectPr w:rsidR="00456BDA" w:rsidSect="00DC6CCA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4C077E" w14:textId="77777777" w:rsidR="00266E81" w:rsidRDefault="00266E81" w:rsidP="00AB3F18">
      <w:r>
        <w:separator/>
      </w:r>
    </w:p>
  </w:endnote>
  <w:endnote w:type="continuationSeparator" w:id="0">
    <w:p w14:paraId="48A107E3" w14:textId="77777777" w:rsidR="00266E81" w:rsidRDefault="00266E81" w:rsidP="00AB3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82776" w14:textId="77777777" w:rsidR="00AB3F18" w:rsidRDefault="00266E81">
    <w:pPr>
      <w:pStyle w:val="Footer"/>
    </w:pPr>
    <w:r>
      <w:pict w14:anchorId="56BA1EFF">
        <v:rect id="_x0000_i1025" style="width:0;height:1.5pt" o:hralign="center" o:hrstd="t" o:hr="t" fillcolor="#aaa" stroked="f"/>
      </w:pict>
    </w:r>
  </w:p>
  <w:p w14:paraId="5A8ECF6E" w14:textId="77777777" w:rsidR="00AB3F18" w:rsidRPr="0056423C" w:rsidRDefault="00AB3F18" w:rsidP="00AB3F18">
    <w:pPr>
      <w:pStyle w:val="Footer"/>
      <w:jc w:val="center"/>
      <w:rPr>
        <w:rFonts w:ascii="Franklin Gothic Medium" w:hAnsi="Franklin Gothic Medium"/>
        <w:color w:val="AB7942"/>
      </w:rPr>
    </w:pPr>
    <w:r w:rsidRPr="0056423C">
      <w:rPr>
        <w:rFonts w:ascii="Franklin Gothic Medium" w:hAnsi="Franklin Gothic Medium"/>
        <w:color w:val="AB7942"/>
      </w:rPr>
      <w:t>www.gmrptcommission.org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2208C5" w14:textId="77777777" w:rsidR="00266E81" w:rsidRDefault="00266E81" w:rsidP="00AB3F18">
      <w:r>
        <w:separator/>
      </w:r>
    </w:p>
  </w:footnote>
  <w:footnote w:type="continuationSeparator" w:id="0">
    <w:p w14:paraId="3AD6C27D" w14:textId="77777777" w:rsidR="00266E81" w:rsidRDefault="00266E81" w:rsidP="00AB3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7E6E9" w14:textId="30FC8300" w:rsidR="00AB3F18" w:rsidRDefault="0056423C" w:rsidP="0056423C">
    <w:pPr>
      <w:pStyle w:val="Header"/>
    </w:pPr>
    <w:r>
      <w:rPr>
        <w:noProof/>
      </w:rPr>
      <w:drawing>
        <wp:inline distT="0" distB="0" distL="0" distR="0" wp14:anchorId="6D65B849" wp14:editId="26DAFD08">
          <wp:extent cx="6109335" cy="926627"/>
          <wp:effectExtent l="0" t="0" r="0" b="0"/>
          <wp:docPr id="1" name="Picture 1" descr="../../../Desktop/GreaterMN%20Header%20Graphi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../../Desktop/GreaterMN%20Header%20Graphi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70" cy="936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E0562D"/>
    <w:multiLevelType w:val="hybridMultilevel"/>
    <w:tmpl w:val="7ABE2E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76FAE"/>
    <w:multiLevelType w:val="hybridMultilevel"/>
    <w:tmpl w:val="D5245D50"/>
    <w:lvl w:ilvl="0" w:tplc="711C9D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0D061D"/>
    <w:multiLevelType w:val="hybridMultilevel"/>
    <w:tmpl w:val="3480851A"/>
    <w:lvl w:ilvl="0" w:tplc="2CBED4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F18"/>
    <w:rsid w:val="000F5E7F"/>
    <w:rsid w:val="001223B8"/>
    <w:rsid w:val="00266E81"/>
    <w:rsid w:val="0039258A"/>
    <w:rsid w:val="00456BDA"/>
    <w:rsid w:val="0056423C"/>
    <w:rsid w:val="005B2487"/>
    <w:rsid w:val="005D6FC4"/>
    <w:rsid w:val="00784065"/>
    <w:rsid w:val="00AB3F18"/>
    <w:rsid w:val="00DC6CCA"/>
    <w:rsid w:val="00F4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CF3DF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F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F18"/>
  </w:style>
  <w:style w:type="paragraph" w:styleId="Footer">
    <w:name w:val="footer"/>
    <w:basedOn w:val="Normal"/>
    <w:link w:val="FooterChar"/>
    <w:uiPriority w:val="99"/>
    <w:unhideWhenUsed/>
    <w:rsid w:val="00AB3F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3F18"/>
  </w:style>
  <w:style w:type="paragraph" w:styleId="ListParagraph">
    <w:name w:val="List Paragraph"/>
    <w:basedOn w:val="Normal"/>
    <w:uiPriority w:val="34"/>
    <w:qFormat/>
    <w:rsid w:val="00F4090C"/>
    <w:pPr>
      <w:spacing w:line="259" w:lineRule="auto"/>
      <w:ind w:left="720"/>
      <w:contextualSpacing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50B53-6774-4CED-81D8-EB2FDB02A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Giant Voices</dc:creator>
  <cp:keywords/>
  <dc:description/>
  <cp:lastModifiedBy>Joe Czapiewski</cp:lastModifiedBy>
  <cp:revision>2</cp:revision>
  <dcterms:created xsi:type="dcterms:W3CDTF">2016-01-22T20:01:00Z</dcterms:created>
  <dcterms:modified xsi:type="dcterms:W3CDTF">2016-01-22T20:01:00Z</dcterms:modified>
</cp:coreProperties>
</file>